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детская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04:24 МСК · База обновлена: 23.07.2026, 03:41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обратился пациент 15 лет с родителями.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боль, кровоточивость в области десны верхней и нижней челюстей;</w:t>
      </w:r>
    </w:p>
    <w:p>
      <w:pPr>
        <w:spacing w:after="58"/>
      </w:pPr>
      <w:r>
        <w:rPr>
          <w:b w:val="0"/>
          <w:i w:val="0"/>
        </w:rPr>
        <w:t>* подвижность зубов и оголение их корней;</w:t>
      </w:r>
    </w:p>
    <w:p>
      <w:pPr>
        <w:spacing w:after="58"/>
      </w:pPr>
      <w:r>
        <w:rPr>
          <w:b w:val="0"/>
          <w:i w:val="0"/>
        </w:rPr>
        <w:t>* неприятный запах изо рта.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наблюдался у пародонтолога с 10 лет. За последний год отмечено резкое ухудшение состояния.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и сопутствующие заболевания: ОРВИ.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Внешний осмотр. Конфигурация лица не изменена, открывание рта свободное, регионарные лимфоузлы увеличены, безболезненны.</w:t>
        <w:br/>
        <w:t>Осмотр полости рта.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5.2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</w:t>
            </w:r>
          </w:p>
        </w:tc>
        <w:tc>
          <w:tcPr>
            <w:tcW w:type="dxa" w:w="675"/>
          </w:tcPr>
          <w:p/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С|С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дёсен, альвеолярных отростков и нёба: слизистая оболочка бледно-розового цвета, нормально увлажнена; десна в области всех зубов верхней и нижней челюстей, гиперемирована, отёчна. Выраженная рецессия десны и обнажение корней у 3.5, 3.6, 4.6 зубов.</w:t>
      </w:r>
    </w:p>
    <w:p>
      <w:pPr>
        <w:spacing w:after="58"/>
      </w:pPr>
      <w:r>
        <w:rPr>
          <w:b w:val="0"/>
          <w:i w:val="0"/>
        </w:rPr>
        <w:t>*Прикус:* постоянный</w:t>
      </w:r>
    </w:p>
    <w:p>
      <w:r>
        <w:drawing>
          <wp:inline xmlns:a="http://schemas.openxmlformats.org/drawingml/2006/main" xmlns:pic="http://schemas.openxmlformats.org/drawingml/2006/picture">
            <wp:extent cx="5303520" cy="352515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629d473b1ffa9b3df2fefbd3db7da15b013197b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2515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зуева_42_27.02.19 рис. 1.jpg</w:t>
      </w:r>
    </w:p>
    <w:p>
      <w:r>
        <w:drawing>
          <wp:inline xmlns:a="http://schemas.openxmlformats.org/drawingml/2006/main" xmlns:pic="http://schemas.openxmlformats.org/drawingml/2006/picture">
            <wp:extent cx="5303520" cy="345495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af0a1bf80fbc94963bb689e3d86df660688e4f4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5495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зуева_42_27.02.19 рис. 2.jpg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Клиническими методами обследования, необходимыми для постановки диагноза,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зондирование пародонтальных карманов пародонтальным зондом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кровоточивости десны при зондировании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индекса КПУ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температурная проба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зондирование пародонтальных карманов пародонтальным зондом; 2 — определение кровоточивости десны при зондировании</w:t>
      </w:r>
    </w:p>
    <w:p>
      <w:pPr>
        <w:ind w:left="504"/>
      </w:pPr>
      <w:r>
        <w:rPr>
          <w:b w:val="0"/>
          <w:i/>
        </w:rPr>
        <w:t>При обследовании тканей пародонта обязательно зондирование пародонтальных карманов в области всех зубов.</w:t>
        <w:br/>
        <w:br/>
        <w:t>Измерения проводят специальным облегчённым пародонтальным зондом.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C.391, 392.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Для оценки состояния десны. При зондировании десневой борозды пародонтальным зондом возникает кровоточивость.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C.367, 397.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необходимому дополнительному методу обследования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электроодонтометрию (ЭОД)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количественную световую флуоресценцию (QLF)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биопсию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рентгенографию</w:t>
      </w:r>
    </w:p>
    <w:p>
      <w:pPr>
        <w:ind w:left="504"/>
      </w:pPr>
      <w:r>
        <w:rPr>
          <w:b w:val="0"/>
          <w:i/>
        </w:rPr>
        <w:t>Рентгенологическое исследование играет ведущую роль среди дополнительных методов исследования. В выявлении заболеваний пародонта возможно использование таких методов рентгенологической диагностики, как внутриротовые контактные снимки, ортопантомография.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C.400.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пародонтит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пародонтит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Пародонтоз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Эпулис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Хронический пародонтит</w:t>
      </w:r>
    </w:p>
    <w:p>
      <w:pPr>
        <w:ind w:left="504"/>
      </w:pPr>
      <w:r>
        <w:rPr>
          <w:b w:val="0"/>
          <w:i/>
        </w:rPr>
        <w:t>Диагноз поставлен на основании данных анамнеза, жалоб, клинических и дополнительны методов обследования.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C.370.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клиническому течению поражение пародонта у данного пациента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атрофическому гингивиту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язвенному гингивиту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локализованному пародонтиту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агрессивному пародонтиту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агрессивному пародонтиту</w:t>
      </w:r>
    </w:p>
    <w:p>
      <w:pPr>
        <w:ind w:left="504"/>
      </w:pPr>
      <w:r>
        <w:rPr>
          <w:b w:val="0"/>
          <w:i/>
        </w:rPr>
        <w:t>Клинически для заболевания характерна быстропрогрессирующая деструкция. Иногда в течение нескольких месяцев или одного года происходит резорбция костной ткани на всю длину корней. Характерны частые обострения, малые сроки ремиссии, заболевание может иметь перманентное течение.</w:t>
        <w:br/>
        <w:br/>
        <w:t>В постановке диагноза агрессивного пародонтита необходимо опираться на следующие основные признаки: характерная клиническая картина, семейный анамнез заболевания, потеря прикрепления более 2 мм за 1 год или до наступления 18 лет, рентгенологически определяемая быстропрогрессирующая деструкция костной ткани в возрасте до 18 лет, выявление большого количества агрессивных пародонтопатогенных бактерий при проведении полимеразной цепной реакции диагностики, а также наличие дефектов системы врождённого иммунитета, особенно снижение фагоцитоза.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C.373, 374-375.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Клиническая картина хронического пародонтита у данного пациента соответствует +__________+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лёгкой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тяжёлой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средней</w:t>
      </w:r>
    </w:p>
    <w:p>
      <w:pPr>
        <w:ind w:left="504"/>
      </w:pPr>
      <w:r>
        <w:rPr>
          <w:b w:val="0"/>
          <w:i/>
        </w:rPr>
        <w:t>Тяжесть определяется по клинико-рентгенологической картине; основным ее критерием служит степень деструкции кости альвеолярных отростков. Лёгкая степень – пародонтальные карманы не более 4 мм; средней тяжести – карманы от 4 до 6 мм; тяжёлая – глубина карманов более 6 мм.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C.361.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агрессивного пародонтита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выравнивание поверхности корней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реминирализирующую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герметизацию фиссур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микроабразию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выравнивание поверхности корней зубов</w:t>
      </w:r>
    </w:p>
    <w:p>
      <w:pPr>
        <w:ind w:left="504"/>
      </w:pPr>
      <w:r>
        <w:rPr>
          <w:b w:val="0"/>
          <w:i/>
        </w:rPr>
        <w:t>Лечение агрессивного пародонтита включает тщательное удаление зубных отложений, выравнивание поверхности корней зубов, медикаментозную обработку полости рта растворами антисептиков.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проведении системной антибактериальной терапии обязательным является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адаптогенов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пробиотиков</w:t>
      </w:r>
    </w:p>
    <w:p>
      <w:pPr>
        <w:ind w:left="504"/>
      </w:pPr>
      <w:r>
        <w:rPr>
          <w:b w:val="0"/>
          <w:i/>
        </w:rPr>
        <w:t>Параллельно с антибактериальной терапией назначают пробиотики.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локальной антибактериальной терапии используют гели на основе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ретинола ацетата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натрия фторида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кальция глюконата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метронидазола</w:t>
      </w:r>
    </w:p>
    <w:p>
      <w:pPr>
        <w:ind w:left="504"/>
      </w:pPr>
      <w:r>
        <w:rPr>
          <w:b w:val="0"/>
          <w:i/>
        </w:rPr>
        <w:t>В глубоких пародонтальных карманах дополнительно можно применять локальную антибактериальную терапию. С этой целью можно использовать гели на основе метронидазола.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локальной антибактериальной терапии гель с антибиотиком вносят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костный карман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пародонтальный карман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переходную складку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десневую борозду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пародонтальный карман</w:t>
      </w:r>
    </w:p>
    <w:p>
      <w:pPr>
        <w:ind w:left="504"/>
      </w:pPr>
      <w:r>
        <w:rPr>
          <w:b w:val="0"/>
          <w:i/>
        </w:rPr>
        <w:t>В глубоких пародонтальных карманах дополнительно можно применять локальную антибактериальную терапию.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Профессиональную гигиену при пародонтите средней тяжести повторно проводят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3-4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3-4 недели</w:t>
      </w:r>
    </w:p>
    <w:p>
      <w:pPr>
        <w:ind w:left="504"/>
      </w:pPr>
      <w:r>
        <w:rPr>
          <w:b w:val="0"/>
          <w:i/>
        </w:rPr>
        <w:t>При пародонтите средней и тяжёлой степени часто требуется повторение профессиональной гигиены через 3-4 недели.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C.415.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Хирургический метод лечения агрессивного пародонтита у подростков заключается в проведении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лоскутной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лазерного кюретажа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открытого кюретажа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гингивэктомии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лазерного кюретажа</w:t>
      </w:r>
    </w:p>
    <w:p>
      <w:pPr>
        <w:ind w:left="504"/>
      </w:pPr>
      <w:r>
        <w:rPr>
          <w:b w:val="0"/>
          <w:i/>
        </w:rPr>
        <w:t>У подростков предпочтение следует отдавать менее радикальным хирургическим вмешательствам. Лазерный кюретаж пародонтальных карманов служит хорошей альтернативой хирургическому лечению с откидыванием лоскутов, так как не приводит к усилению подвижности зубов и сильной рецессии десны.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C.417-418.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Поддерживающую терапию при агрессивном пародонтите проводят не реже _____ раз(а)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;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;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;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;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 ; год</w:t>
      </w:r>
    </w:p>
    <w:p>
      <w:pPr>
        <w:ind w:left="504"/>
      </w:pPr>
      <w:r>
        <w:rPr>
          <w:b w:val="0"/>
          <w:i/>
        </w:rPr>
        <w:t>Ключевую роль в достижении успеха при лечении заболеваний пародонта, особенно агрессивной природы, отводят поддерживающей терапии. Периодичность поддерживающей терапии индивидуальна (при хроническом пародонтите не реже 2 раз в год, при агрессивном пародонтите и синдромных поражениях пародонта – не реже 4 раз в год).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C.420.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детская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53186/?anchor=paragraph_j1v08s#paragraph_j1v08s" TargetMode="External"/><Relationship Id="rId24" Type="http://schemas.openxmlformats.org/officeDocument/2006/relationships/hyperlink" Target="https://library.mededtech.ru/rest/documents/ISBN9785970453186/?anchor=paragraph_mi6nr5#paragraph_mi6nr5" TargetMode="External"/><Relationship Id="rId25" Type="http://schemas.openxmlformats.org/officeDocument/2006/relationships/hyperlink" Target="https://library.mededtech.ru/rest/documents/ISBN9785970453186/?anchor=paragraph_r6u0r2#paragraph_r6u0r2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ISBN9785970453186/?anchor=paragraph_11pg24#paragraph_11pg24" TargetMode="External"/><Relationship Id="rId28" Type="http://schemas.openxmlformats.org/officeDocument/2006/relationships/hyperlink" Target="https://library.mededtech.ru/rest/documents/ISBN9785970453186/?anchor=9_8_&#1040;&#1043;&#1056;&#1045;&#1057;&#1057;&#1048;&#1042;&#1053;&#1067;&#1049;_&#1055;&#1040;&#1056;&#1054;&#1044;&#1054;&#1053;&#1058;&#1048;&#1058;#9_8_&#1040;&#1043;&#1056;&#1045;&#1057;&#1057;&#1048;&#1042;&#1053;&#1067;&#1049;_&#1055;&#1040;&#1056;&#1054;&#1044;&#1054;&#1053;&#1058;&#1048;&#1058;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ISBN9785970453186/?anchor=paragraph_9o4ime#paragraph_9o4ime" TargetMode="External"/><Relationship Id="rId31" Type="http://schemas.openxmlformats.org/officeDocument/2006/relationships/hyperlink" Target="https://library.mededtech.ru/rest/documents/ISBN9785970453186/?anchor=paragraph_9vhat2#paragraph_9vhat2" TargetMode="External"/><Relationship Id="rId32" Type="http://schemas.openxmlformats.org/officeDocument/2006/relationships/hyperlink" Target="https://library.mededtech.ru/rest/documents/ISBN9785970453186/?anchor=paragraph_u3s169#paragraph_u3s169" TargetMode="External"/><Relationship Id="rId33" Type="http://schemas.openxmlformats.org/officeDocument/2006/relationships/hyperlink" Target="https://library.mededtech.ru/rest/documents/ISBN9785970453186/?anchor=paragraph_5b7iqu#paragraph_5b7iqu" TargetMode="External"/><Relationship Id="rId34" Type="http://schemas.openxmlformats.org/officeDocument/2006/relationships/hyperlink" Target="https://library.mededtech.ru/rest/documents/ISBN9785970453186/?anchor=paragraph_3g6dq0#paragraph_3g6dq0" TargetMode="External"/><Relationship Id="rId35" Type="http://schemas.openxmlformats.org/officeDocument/2006/relationships/hyperlink" Target="https://library.mededtech.ru/rest/documents/ISBN9785970453186/?anchor=paragraph_rmm2pu#paragraph_rmm2pu" TargetMode="External"/><Relationship Id="rId36" Type="http://schemas.openxmlformats.org/officeDocument/2006/relationships/hyperlink" Target="https://library.mededtech.ru/rest/documents/ISBN9785970453186/?anchor=paragraph_ttst9c#paragraph_ttst9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